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KEBOLAMPANG</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123AAA</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2. Kepala Desa Guyangan</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3. Kepala Desa Pekalongan</w:t>
            </w:r>
          </w:p>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4. </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123</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Kepala Desa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